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3</w:t>
      </w:r>
      <w:r>
        <w:rPr>
          <w:b/>
          <w:color w:val="000000" w:themeColor="text1"/>
          <w14:textFill>
            <w14:solidFill>
              <w14:schemeClr w14:val="tx1"/>
            </w14:solidFill>
          </w14:textFill>
        </w:rPr>
        <w:tab/>
      </w:r>
      <w:bookmarkStart w:id="4" w:name="_GoBack"/>
      <w:r>
        <w:rPr>
          <w:rFonts w:hint="eastAsia"/>
          <w:b/>
          <w:color w:val="000000" w:themeColor="text1"/>
          <w14:textFill>
            <w14:solidFill>
              <w14:schemeClr w14:val="tx1"/>
            </w14:solidFill>
          </w14:textFill>
        </w:rPr>
        <w:t>R2-2308296</w:t>
      </w:r>
    </w:p>
    <w:bookmarkEnd w:id="4"/>
    <w:p>
      <w:pPr>
        <w:pStyle w:val="56"/>
        <w:jc w:val="left"/>
        <w:rPr>
          <w:rFonts w:hint="eastAsia" w:cs="Arial"/>
          <w:color w:val="000000" w:themeColor="text1"/>
          <w:sz w:val="20"/>
          <w14:textFill>
            <w14:solidFill>
              <w14:schemeClr w14:val="tx1"/>
            </w14:solidFill>
          </w14:textFill>
        </w:rPr>
      </w:pPr>
      <w:r>
        <w:rPr>
          <w:rFonts w:hint="eastAsia" w:cs="Arial"/>
          <w:color w:val="000000" w:themeColor="text1"/>
          <w:sz w:val="20"/>
          <w14:textFill>
            <w14:solidFill>
              <w14:schemeClr w14:val="tx1"/>
            </w14:solidFill>
          </w14:textFill>
        </w:rPr>
        <w:t>Toulouse, France, August 21-25, 2023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cs="Arial" w:eastAsiaTheme="minorEastAsia"/>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w:t>
      </w:r>
      <w:r>
        <w:rPr>
          <w:rFonts w:hint="eastAsia" w:eastAsia="宋体" w:cs="Arial"/>
          <w:color w:val="000000" w:themeColor="text1"/>
          <w:sz w:val="20"/>
          <w:lang w:val="en-US" w:eastAsia="zh-CN"/>
          <w14:textFill>
            <w14:solidFill>
              <w14:schemeClr w14:val="tx1"/>
            </w14:solidFill>
          </w14:textFill>
        </w:rPr>
        <w:t xml:space="preserve"> open issues for</w:t>
      </w:r>
      <w:r>
        <w:rPr>
          <w:rFonts w:hint="default" w:cs="Arial"/>
          <w:color w:val="000000" w:themeColor="text1"/>
          <w:sz w:val="20"/>
          <w:lang w:val="en-US"/>
          <w14:textFill>
            <w14:solidFill>
              <w14:schemeClr w14:val="tx1"/>
            </w14:solidFill>
          </w14:textFill>
        </w:rPr>
        <w:t xml:space="preserve"> NTN-TN cell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54"/>
        <w:pBdr>
          <w:top w:val="single" w:color="auto" w:sz="4" w:space="1"/>
          <w:left w:val="single" w:color="auto" w:sz="4" w:space="4"/>
          <w:bottom w:val="single" w:color="auto" w:sz="4" w:space="1"/>
          <w:right w:val="single" w:color="auto" w:sz="4" w:space="4"/>
        </w:pBdr>
      </w:pPr>
      <w:r>
        <w:t>Agreements:</w:t>
      </w:r>
    </w:p>
    <w:p>
      <w:pPr>
        <w:pStyle w:val="54"/>
        <w:numPr>
          <w:ilvl w:val="0"/>
          <w:numId w:val="11"/>
        </w:numPr>
        <w:pBdr>
          <w:top w:val="single" w:color="auto" w:sz="4" w:space="1"/>
          <w:left w:val="single" w:color="auto" w:sz="4" w:space="4"/>
          <w:bottom w:val="single" w:color="auto" w:sz="4" w:space="1"/>
          <w:right w:val="single" w:color="auto" w:sz="4" w:space="4"/>
        </w:pBdr>
      </w:pPr>
      <w:r>
        <w:t>An RRC_IDLE/RRC_INACTIVE UE is not required to perform neighbour cell measurements for cell reselection for a TN frequency in the area, if configured, where there is no coverage of that frequency, regardless of the frequency priority</w:t>
      </w:r>
    </w:p>
    <w:p>
      <w:pPr>
        <w:pStyle w:val="54"/>
        <w:numPr>
          <w:ilvl w:val="0"/>
          <w:numId w:val="11"/>
        </w:numPr>
        <w:pBdr>
          <w:top w:val="single" w:color="auto" w:sz="4" w:space="1"/>
          <w:left w:val="single" w:color="auto" w:sz="4" w:space="4"/>
          <w:bottom w:val="single" w:color="auto" w:sz="4" w:space="1"/>
          <w:right w:val="single" w:color="auto" w:sz="4" w:space="4"/>
        </w:pBdr>
      </w:pPr>
      <w:r>
        <w:t>Reuse the same format of Rel-17 referenceLocation and distanceThresh for signaling the TN coverage area centre and radius</w:t>
      </w:r>
    </w:p>
    <w:p>
      <w:pPr>
        <w:pStyle w:val="54"/>
        <w:numPr>
          <w:ilvl w:val="0"/>
          <w:numId w:val="11"/>
        </w:numPr>
        <w:pBdr>
          <w:top w:val="single" w:color="auto" w:sz="4" w:space="1"/>
          <w:left w:val="single" w:color="auto" w:sz="4" w:space="4"/>
          <w:bottom w:val="single" w:color="auto" w:sz="4" w:space="1"/>
          <w:right w:val="single" w:color="auto" w:sz="4" w:space="4"/>
        </w:pBdr>
      </w:pPr>
      <w:r>
        <w:t>TN coverage info is NOT included in SIB19. FFS if we use an existing SIB or a new one</w:t>
      </w:r>
    </w:p>
    <w:p>
      <w:pPr>
        <w:pStyle w:val="54"/>
        <w:numPr>
          <w:ilvl w:val="0"/>
          <w:numId w:val="11"/>
        </w:numPr>
        <w:pBdr>
          <w:top w:val="single" w:color="auto" w:sz="4" w:space="1"/>
          <w:left w:val="single" w:color="auto" w:sz="4" w:space="4"/>
          <w:bottom w:val="single" w:color="auto" w:sz="4" w:space="1"/>
          <w:right w:val="single" w:color="auto" w:sz="4" w:space="4"/>
        </w:pBdr>
      </w:pPr>
      <w:r>
        <w:t>We don’t introduce RRC dedicated signalling to provide more accurate TN coverage information</w:t>
      </w:r>
    </w:p>
    <w:p>
      <w:pPr>
        <w:pStyle w:val="54"/>
        <w:ind w:left="0" w:firstLine="0"/>
      </w:pPr>
    </w:p>
    <w:p>
      <w:pPr>
        <w:pStyle w:val="54"/>
        <w:pBdr>
          <w:top w:val="single" w:color="auto" w:sz="4" w:space="1"/>
          <w:left w:val="single" w:color="auto" w:sz="4" w:space="4"/>
          <w:bottom w:val="single" w:color="auto" w:sz="4" w:space="1"/>
          <w:right w:val="single" w:color="auto" w:sz="4" w:space="4"/>
        </w:pBdr>
      </w:pPr>
      <w:r>
        <w:t>Agreements:</w:t>
      </w:r>
    </w:p>
    <w:p>
      <w:pPr>
        <w:pStyle w:val="54"/>
        <w:numPr>
          <w:ilvl w:val="0"/>
          <w:numId w:val="12"/>
        </w:numPr>
        <w:pBdr>
          <w:top w:val="single" w:color="auto" w:sz="4" w:space="1"/>
          <w:left w:val="single" w:color="auto" w:sz="4" w:space="4"/>
          <w:bottom w:val="single" w:color="auto" w:sz="4" w:space="1"/>
          <w:right w:val="single" w:color="auto" w:sz="4" w:space="4"/>
        </w:pBdr>
      </w:pPr>
      <w:r>
        <w:t xml:space="preserve">We no longer consider option 3 alone for signaling the frequency information for TN coverage area (in case option 3 should be combined with option 1). Come back in the next meeting to decide between option 2 (plus possible fixes if needed) and option 1+3. </w:t>
      </w:r>
    </w:p>
    <w:p>
      <w:pPr>
        <w:pStyle w:val="60"/>
        <w:spacing w:after="0"/>
        <w:ind w:left="0" w:firstLine="0"/>
        <w:rPr>
          <w:rFonts w:hint="eastAsia" w:cs="Arial" w:eastAsiaTheme="minorEastAsia"/>
          <w:bCs/>
          <w:color w:val="000000" w:themeColor="text1"/>
          <w:lang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further analysi</w:t>
      </w:r>
      <w:r>
        <w:rPr>
          <w:rFonts w:cs="Arial" w:eastAsiaTheme="minorEastAsia"/>
          <w:bCs/>
          <w:color w:val="000000" w:themeColor="text1"/>
          <w:lang w:eastAsia="zh-CN"/>
          <w14:textFill>
            <w14:solidFill>
              <w14:schemeClr w14:val="tx1"/>
            </w14:solidFill>
          </w14:textFill>
        </w:rPr>
        <w:t>s</w:t>
      </w:r>
      <w:r>
        <w:rPr>
          <w:rFonts w:hint="default" w:cs="Arial" w:eastAsiaTheme="minorEastAsia"/>
          <w:bCs/>
          <w:color w:val="000000" w:themeColor="text1"/>
          <w:lang w:val="en-US" w:eastAsia="zh-CN"/>
          <w14:textFill>
            <w14:solidFill>
              <w14:schemeClr w14:val="tx1"/>
            </w14:solidFill>
          </w14:textFill>
        </w:rPr>
        <w:t xml:space="preserve"> about TN coverage information aspects and </w:t>
      </w:r>
      <w:r>
        <w:rPr>
          <w:i w:val="0"/>
        </w:rPr>
        <w:t>UE storage overhead</w:t>
      </w:r>
      <w:r>
        <w:rPr>
          <w:rFonts w:hint="default"/>
          <w:i w:val="0"/>
          <w:lang w:val="en-US"/>
        </w:rPr>
        <w:t xml:space="preserve"> issue </w:t>
      </w:r>
      <w:r>
        <w:rPr>
          <w:rFonts w:cs="Arial" w:eastAsiaTheme="minorEastAsia"/>
          <w:bCs/>
          <w:color w:val="000000" w:themeColor="text1"/>
          <w:lang w:eastAsia="zh-CN"/>
          <w14:textFill>
            <w14:solidFill>
              <w14:schemeClr w14:val="tx1"/>
            </w14:solidFill>
          </w14:textFill>
        </w:rPr>
        <w:t xml:space="preserve">for </w:t>
      </w:r>
      <w:r>
        <w:rPr>
          <w:rFonts w:hint="default" w:cs="Arial" w:eastAsiaTheme="minorEastAsia"/>
          <w:bCs/>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bCs/>
          <w:color w:val="000000" w:themeColor="text1"/>
          <w:lang w:val="en-US" w:eastAsia="zh-CN"/>
          <w14:textFill>
            <w14:solidFill>
              <w14:schemeClr w14:val="tx1"/>
            </w14:solidFill>
          </w14:textFill>
        </w:rPr>
      </w:pPr>
      <w:bookmarkStart w:id="2" w:name="_Hlk41985036"/>
      <w:r>
        <w:rPr>
          <w:rFonts w:hint="default" w:cs="Arial"/>
          <w:color w:val="000000" w:themeColor="text1"/>
          <w:sz w:val="32"/>
          <w:szCs w:val="32"/>
          <w:lang w:val="en-US"/>
          <w14:textFill>
            <w14:solidFill>
              <w14:schemeClr w14:val="tx1"/>
            </w14:solidFill>
          </w14:textFill>
        </w:rPr>
        <w:t>2.</w:t>
      </w:r>
      <w:r>
        <w:rPr>
          <w:rFonts w:hint="eastAsia" w:eastAsia="宋体" w:cs="Arial"/>
          <w:color w:val="000000" w:themeColor="text1"/>
          <w:sz w:val="32"/>
          <w:szCs w:val="32"/>
          <w:lang w:val="en-US" w:eastAsia="zh-CN"/>
          <w14:textFill>
            <w14:solidFill>
              <w14:schemeClr w14:val="tx1"/>
            </w14:solidFill>
          </w14:textFill>
        </w:rPr>
        <w:t>1</w:t>
      </w:r>
      <w:r>
        <w:rPr>
          <w:rFonts w:hint="default" w:cs="Arial"/>
          <w:color w:val="000000" w:themeColor="text1"/>
          <w:sz w:val="32"/>
          <w:szCs w:val="32"/>
          <w:lang w:val="en-US"/>
          <w14:textFill>
            <w14:solidFill>
              <w14:schemeClr w14:val="tx1"/>
            </w14:solidFill>
          </w14:textFill>
        </w:rPr>
        <w:t xml:space="preserve"> How to indicate the frequency information for TN coverage</w:t>
      </w:r>
    </w:p>
    <w:p>
      <w:pPr>
        <w:spacing w:after="180"/>
        <w:jc w:val="left"/>
        <w:rPr>
          <w:rFonts w:hint="eastAsia" w:cs="Arial" w:eastAsiaTheme="minorEastAsia"/>
          <w:b w:val="0"/>
          <w:bCs w:val="0"/>
          <w:color w:val="000000" w:themeColor="text1"/>
          <w:highlight w:val="none"/>
          <w:lang w:val="en-US" w:eastAsia="zh-CN"/>
          <w14:textFill>
            <w14:solidFill>
              <w14:schemeClr w14:val="tx1"/>
            </w14:solidFill>
          </w14:textFill>
        </w:rPr>
      </w:pPr>
      <w:r>
        <w:rPr>
          <w:rFonts w:hint="default" w:cs="Arial" w:eastAsiaTheme="minorEastAsia"/>
          <w:b w:val="0"/>
          <w:bCs w:val="0"/>
          <w:color w:val="000000" w:themeColor="text1"/>
          <w:highlight w:val="none"/>
          <w:lang w:val="en-US" w:eastAsia="zh-CN"/>
          <w14:textFill>
            <w14:solidFill>
              <w14:schemeClr w14:val="tx1"/>
            </w14:solidFill>
          </w14:textFill>
        </w:rPr>
        <w:t xml:space="preserve"> </w:t>
      </w:r>
      <w:r>
        <w:rPr>
          <w:rFonts w:hint="eastAsia" w:cs="Arial" w:eastAsiaTheme="minorEastAsia"/>
          <w:b w:val="0"/>
          <w:bCs w:val="0"/>
          <w:color w:val="000000" w:themeColor="text1"/>
          <w:highlight w:val="none"/>
          <w:lang w:val="en-US" w:eastAsia="zh-CN"/>
          <w14:textFill>
            <w14:solidFill>
              <w14:schemeClr w14:val="tx1"/>
            </w14:solidFill>
          </w14:textFill>
        </w:rPr>
        <w:t>In last RAN2 meeting, we have discussed how to provide frequency information for TN coverage with 3 candidate options：</w:t>
      </w:r>
    </w:p>
    <w:p>
      <w:pPr>
        <w:pStyle w:val="109"/>
        <w:numPr>
          <w:ilvl w:val="0"/>
          <w:numId w:val="13"/>
        </w:numPr>
        <w:jc w:val="both"/>
      </w:pPr>
      <w:r>
        <w:rPr>
          <w:u w:val="single"/>
        </w:rPr>
        <w:t>Option 1:</w:t>
      </w:r>
      <w:r>
        <w:t xml:space="preserve"> Frequency information (i.e. a list of TN frequencies) for each TN coverage area is indicated directly under each TN coverage area configuration.</w:t>
      </w:r>
    </w:p>
    <w:p>
      <w:pPr>
        <w:pStyle w:val="109"/>
        <w:numPr>
          <w:ilvl w:val="0"/>
          <w:numId w:val="13"/>
        </w:numPr>
        <w:jc w:val="both"/>
      </w:pPr>
      <w:r>
        <w:rPr>
          <w:u w:val="single"/>
        </w:rPr>
        <w:t>Option 2:</w:t>
      </w:r>
      <w:r>
        <w:t xml:space="preserve"> A TN coverage area configuration is associated with a TN coverage Area ID. The frequency information for TN coverage area is indicated by adding TN coverage area IDs in SIB4 and SIB5.</w:t>
      </w:r>
    </w:p>
    <w:p>
      <w:pPr>
        <w:pStyle w:val="109"/>
        <w:numPr>
          <w:ilvl w:val="0"/>
          <w:numId w:val="13"/>
        </w:numPr>
        <w:jc w:val="both"/>
      </w:pPr>
      <w:r>
        <w:rPr>
          <w:u w:val="single"/>
        </w:rPr>
        <w:t>Option 3:</w:t>
      </w:r>
      <w:r>
        <w:t xml:space="preserve"> Frequency index bitmap is indicated under each TN coverage area, where the frequency index refers to the frequency’s position in the frequency list of the current SIB4.</w:t>
      </w:r>
    </w:p>
    <w:p>
      <w:pPr>
        <w:spacing w:after="180"/>
        <w:jc w:val="left"/>
        <w:rPr>
          <w:rFonts w:hint="default"/>
          <w:lang w:val="en-US" w:eastAsia="zh-CN"/>
        </w:rPr>
      </w:pPr>
      <w:r>
        <w:rPr>
          <w:rFonts w:hint="eastAsia" w:cs="Arial" w:eastAsiaTheme="minorEastAsia"/>
          <w:b w:val="0"/>
          <w:bCs w:val="0"/>
          <w:color w:val="000000" w:themeColor="text1"/>
          <w:highlight w:val="none"/>
          <w:lang w:val="en-US" w:eastAsia="zh-CN"/>
          <w14:textFill>
            <w14:solidFill>
              <w14:schemeClr w14:val="tx1"/>
            </w14:solidFill>
          </w14:textFill>
        </w:rPr>
        <w:t>Based on last meeting discussion, we have agreed to come back in this meeting to decide between option 2 (plus possible fixes if needed) and option 1+3. For option 2, the advantage is just that it could reuse the existing frequency information signaling structure in the SIB4 and SIB5, however we still need to consider how to provide frequencies not in SIB4/SIB5.</w:t>
      </w:r>
      <w:r>
        <w:rPr>
          <w:rFonts w:hint="eastAsia" w:cs="Arial" w:eastAsiaTheme="minorEastAsia"/>
          <w:b w:val="0"/>
          <w:bCs w:val="0"/>
          <w:color w:val="0000FF"/>
          <w:highlight w:val="none"/>
          <w:lang w:val="en-US" w:eastAsia="zh-CN"/>
        </w:rPr>
        <w:t xml:space="preserve"> </w:t>
      </w:r>
      <w:r>
        <w:rPr>
          <w:rFonts w:hint="eastAsia" w:cs="Arial" w:eastAsiaTheme="minorEastAsia"/>
          <w:b w:val="0"/>
          <w:bCs w:val="0"/>
          <w:color w:val="000000" w:themeColor="text1"/>
          <w:highlight w:val="none"/>
          <w:lang w:val="en-US" w:eastAsia="zh-CN"/>
          <w14:textFill>
            <w14:solidFill>
              <w14:schemeClr w14:val="tx1"/>
            </w14:solidFill>
          </w14:textFill>
        </w:rPr>
        <w:t xml:space="preserve">For combination option 1 and option 3, with frequency index bitmap indication, it is beneficial for signaling overhead reduction. Then regarding the specific combination solution, </w:t>
      </w:r>
      <w:r>
        <w:rPr>
          <w:lang w:eastAsia="zh-CN"/>
        </w:rPr>
        <w:t>signal directly frequencies not included in SIB4 and SIB5 and use bitmap</w:t>
      </w:r>
      <w:r>
        <w:rPr>
          <w:rFonts w:hint="eastAsia"/>
          <w:lang w:val="en-US" w:eastAsia="zh-CN"/>
        </w:rPr>
        <w:t xml:space="preserve"> indication</w:t>
      </w:r>
      <w:r>
        <w:rPr>
          <w:lang w:eastAsia="zh-CN"/>
        </w:rPr>
        <w:t xml:space="preserve"> for those in SIB4/5</w:t>
      </w:r>
      <w:r>
        <w:rPr>
          <w:rFonts w:hint="eastAsia"/>
          <w:lang w:val="en-US" w:eastAsia="zh-CN"/>
        </w:rPr>
        <w:t xml:space="preserve"> could be considered, which can not only solve the problem that the frequency is not in SIB4/5 but also reduce some signaling overhead with the bitmap indication solution. Therefore the combination solution seems to have more benefits.</w:t>
      </w:r>
    </w:p>
    <w:p>
      <w:pPr>
        <w:spacing w:after="180"/>
        <w:jc w:val="left"/>
        <w:rPr>
          <w:rFonts w:hint="eastAsia"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Observation 1: For option 2, the advantage is just that it could reuse the existing frequency information signaling structure in the SIB4 and SIB5, however we still need to consider how to provide frequencies not in SIB4/SIB5.</w:t>
      </w:r>
    </w:p>
    <w:p>
      <w:pPr>
        <w:spacing w:after="180"/>
        <w:jc w:val="left"/>
        <w:rPr>
          <w:rFonts w:hint="default"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Proposal 1: It is proposed to consider the combination option 1+3 with high priority.</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w:t>
      </w:r>
      <w:r>
        <w:rPr>
          <w:rFonts w:hint="eastAsia" w:eastAsia="宋体" w:cs="Arial"/>
          <w:color w:val="000000" w:themeColor="text1"/>
          <w:sz w:val="32"/>
          <w:szCs w:val="32"/>
          <w:lang w:val="en-US" w:eastAsia="zh-CN"/>
          <w14:textFill>
            <w14:solidFill>
              <w14:schemeClr w14:val="tx1"/>
            </w14:solidFill>
          </w14:textFill>
        </w:rPr>
        <w:t>2</w:t>
      </w:r>
      <w:r>
        <w:rPr>
          <w:rFonts w:hint="default" w:cs="Arial"/>
          <w:color w:val="000000" w:themeColor="text1"/>
          <w:sz w:val="32"/>
          <w:szCs w:val="32"/>
          <w:lang w:val="en-US"/>
          <w14:textFill>
            <w14:solidFill>
              <w14:schemeClr w14:val="tx1"/>
            </w14:solidFill>
          </w14:textFill>
        </w:rPr>
        <w:t xml:space="preserve"> TN coverage list size and which SIB to use</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default" w:cs="Arial" w:eastAsiaTheme="minorEastAsia"/>
          <w:b w:val="0"/>
          <w:bCs w:val="0"/>
          <w:color w:val="000000" w:themeColor="text1"/>
          <w:highlight w:val="none"/>
          <w:lang w:val="en-US" w:eastAsia="zh-CN"/>
          <w14:textFill>
            <w14:solidFill>
              <w14:schemeClr w14:val="tx1"/>
            </w14:solidFill>
          </w14:textFill>
        </w:rPr>
        <w:t xml:space="preserve">Regarding the TN coverage list size, companies provided comments in email discussion [3], while there were no solid value. </w:t>
      </w:r>
      <w:r>
        <w:rPr>
          <w:rFonts w:hint="eastAsia" w:cs="Arial" w:eastAsiaTheme="minorEastAsia"/>
          <w:b w:val="0"/>
          <w:bCs w:val="0"/>
          <w:color w:val="000000" w:themeColor="text1"/>
          <w:highlight w:val="none"/>
          <w:lang w:val="en-US" w:eastAsia="zh-CN"/>
          <w14:textFill>
            <w14:solidFill>
              <w14:schemeClr w14:val="tx1"/>
            </w14:solidFill>
          </w14:textFill>
        </w:rPr>
        <w:t xml:space="preserve">Hence </w:t>
      </w:r>
      <w:r>
        <w:rPr>
          <w:rFonts w:hint="default" w:cs="Arial" w:eastAsiaTheme="minorEastAsia"/>
          <w:b w:val="0"/>
          <w:bCs w:val="0"/>
          <w:color w:val="000000" w:themeColor="text1"/>
          <w:highlight w:val="none"/>
          <w:lang w:val="en-US" w:eastAsia="zh-CN"/>
          <w14:textFill>
            <w14:solidFill>
              <w14:schemeClr w14:val="tx1"/>
            </w14:solidFill>
          </w14:textFill>
        </w:rPr>
        <w:t xml:space="preserve">we agreed to postpone this issue until more is known on the format of this information and how is it sent. From our perspective, to </w:t>
      </w:r>
      <w:r>
        <w:rPr>
          <w:rFonts w:hint="eastAsia" w:cs="Arial" w:eastAsiaTheme="minorEastAsia"/>
          <w:b w:val="0"/>
          <w:bCs w:val="0"/>
          <w:color w:val="000000" w:themeColor="text1"/>
          <w:highlight w:val="none"/>
          <w:lang w:val="en-US" w:eastAsia="zh-CN"/>
          <w14:textFill>
            <w14:solidFill>
              <w14:schemeClr w14:val="tx1"/>
            </w14:solidFill>
          </w14:textFill>
        </w:rPr>
        <w:t>facilitate</w:t>
      </w:r>
      <w:r>
        <w:rPr>
          <w:rFonts w:hint="default" w:cs="Arial" w:eastAsiaTheme="minorEastAsia"/>
          <w:b w:val="0"/>
          <w:bCs w:val="0"/>
          <w:color w:val="000000" w:themeColor="text1"/>
          <w:highlight w:val="none"/>
          <w:lang w:val="en-US" w:eastAsia="zh-CN"/>
          <w14:textFill>
            <w14:solidFill>
              <w14:schemeClr w14:val="tx1"/>
            </w14:solidFill>
          </w14:textFill>
        </w:rPr>
        <w:t xml:space="preserve"> progress</w:t>
      </w:r>
      <w:r>
        <w:rPr>
          <w:rFonts w:hint="eastAsia" w:cs="Arial" w:eastAsiaTheme="minorEastAsia"/>
          <w:b w:val="0"/>
          <w:bCs w:val="0"/>
          <w:color w:val="000000" w:themeColor="text1"/>
          <w:highlight w:val="none"/>
          <w:lang w:val="en-US" w:eastAsia="zh-CN"/>
          <w14:textFill>
            <w14:solidFill>
              <w14:schemeClr w14:val="tx1"/>
            </w14:solidFill>
          </w14:textFill>
        </w:rPr>
        <w:t xml:space="preserve"> the discussion</w:t>
      </w:r>
      <w:r>
        <w:rPr>
          <w:rFonts w:hint="default" w:cs="Arial" w:eastAsiaTheme="minorEastAsia"/>
          <w:b w:val="0"/>
          <w:bCs w:val="0"/>
          <w:color w:val="000000" w:themeColor="text1"/>
          <w:highlight w:val="none"/>
          <w:lang w:val="en-US" w:eastAsia="zh-CN"/>
          <w14:textFill>
            <w14:solidFill>
              <w14:schemeClr w14:val="tx1"/>
            </w14:solidFill>
          </w14:textFill>
        </w:rPr>
        <w:t xml:space="preserve">, we could </w:t>
      </w:r>
      <w:r>
        <w:rPr>
          <w:rFonts w:hint="eastAsia" w:cs="Arial" w:eastAsiaTheme="minorEastAsia"/>
          <w:b w:val="0"/>
          <w:bCs w:val="0"/>
          <w:color w:val="000000" w:themeColor="text1"/>
          <w:highlight w:val="none"/>
          <w:lang w:val="en-US" w:eastAsia="zh-CN"/>
          <w14:textFill>
            <w14:solidFill>
              <w14:schemeClr w14:val="tx1"/>
            </w14:solidFill>
          </w14:textFill>
        </w:rPr>
        <w:t>firstly make clear that</w:t>
      </w:r>
      <w:r>
        <w:rPr>
          <w:rFonts w:hint="default" w:cs="Arial" w:eastAsiaTheme="minorEastAsia"/>
          <w:b w:val="0"/>
          <w:bCs w:val="0"/>
          <w:color w:val="000000" w:themeColor="text1"/>
          <w:highlight w:val="none"/>
          <w:lang w:val="en-US" w:eastAsia="zh-CN"/>
          <w14:textFill>
            <w14:solidFill>
              <w14:schemeClr w14:val="tx1"/>
            </w14:solidFill>
          </w14:textFill>
        </w:rPr>
        <w:t xml:space="preserve"> </w:t>
      </w:r>
      <w:r>
        <w:rPr>
          <w:rFonts w:hint="eastAsia" w:cs="Arial" w:eastAsiaTheme="minorEastAsia"/>
          <w:b w:val="0"/>
          <w:bCs w:val="0"/>
          <w:color w:val="000000" w:themeColor="text1"/>
          <w:highlight w:val="none"/>
          <w:lang w:val="en-US" w:eastAsia="zh-CN"/>
          <w14:textFill>
            <w14:solidFill>
              <w14:schemeClr w14:val="tx1"/>
            </w14:solidFill>
          </w14:textFill>
        </w:rPr>
        <w:t xml:space="preserve">currently the area </w:t>
      </w:r>
      <w:r>
        <w:rPr>
          <w:rFonts w:hint="eastAsia"/>
          <w:lang w:eastAsia="zh-CN"/>
        </w:rPr>
        <w:t>where NTN is deployed, TN coverage may generally be rare</w:t>
      </w:r>
      <w:r>
        <w:rPr>
          <w:rFonts w:hint="default" w:cs="Arial" w:eastAsiaTheme="minorEastAsia"/>
          <w:b w:val="0"/>
          <w:bCs w:val="0"/>
          <w:color w:val="000000" w:themeColor="text1"/>
          <w:highlight w:val="none"/>
          <w:lang w:val="en-US" w:eastAsia="zh-CN"/>
          <w14:textFill>
            <w14:solidFill>
              <w14:schemeClr w14:val="tx1"/>
            </w14:solidFill>
          </w14:textFill>
        </w:rPr>
        <w:t xml:space="preserve">. </w:t>
      </w:r>
      <w:r>
        <w:rPr>
          <w:rFonts w:hint="eastAsia" w:cs="Arial" w:eastAsiaTheme="minorEastAsia"/>
          <w:b w:val="0"/>
          <w:bCs w:val="0"/>
          <w:color w:val="000000" w:themeColor="text1"/>
          <w:highlight w:val="none"/>
          <w:lang w:val="en-US" w:eastAsia="zh-CN"/>
          <w14:textFill>
            <w14:solidFill>
              <w14:schemeClr w14:val="tx1"/>
            </w14:solidFill>
          </w14:textFill>
        </w:rPr>
        <w:t>Moreover, the staletllite coverage also depends on the</w:t>
      </w:r>
      <w:r>
        <w:rPr>
          <w:rFonts w:hint="default" w:cs="Arial" w:eastAsiaTheme="minorEastAsia"/>
          <w:b w:val="0"/>
          <w:bCs w:val="0"/>
          <w:color w:val="000000" w:themeColor="text1"/>
          <w:highlight w:val="none"/>
          <w:lang w:val="en-US" w:eastAsia="zh-CN"/>
          <w14:textFill>
            <w14:solidFill>
              <w14:schemeClr w14:val="tx1"/>
            </w14:solidFill>
          </w14:textFill>
        </w:rPr>
        <w:t xml:space="preserve"> satellite type, which may impact on the TN coverage list size</w:t>
      </w:r>
      <w:r>
        <w:rPr>
          <w:rFonts w:hint="eastAsia" w:cs="Arial" w:eastAsiaTheme="minorEastAsia"/>
          <w:b w:val="0"/>
          <w:bCs w:val="0"/>
          <w:color w:val="000000" w:themeColor="text1"/>
          <w:highlight w:val="none"/>
          <w:lang w:val="en-US" w:eastAsia="zh-CN"/>
          <w14:textFill>
            <w14:solidFill>
              <w14:schemeClr w14:val="tx1"/>
            </w14:solidFill>
          </w14:textFill>
        </w:rPr>
        <w:t xml:space="preserve"> variety</w:t>
      </w:r>
      <w:r>
        <w:rPr>
          <w:rFonts w:hint="default" w:cs="Arial" w:eastAsiaTheme="minorEastAsia"/>
          <w:b w:val="0"/>
          <w:bCs w:val="0"/>
          <w:color w:val="000000" w:themeColor="text1"/>
          <w:highlight w:val="none"/>
          <w:lang w:val="en-US" w:eastAsia="zh-CN"/>
          <w14:textFill>
            <w14:solidFill>
              <w14:schemeClr w14:val="tx1"/>
            </w14:solidFill>
          </w14:textFill>
        </w:rPr>
        <w:t>.</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eastAsia" w:cs="Arial" w:eastAsiaTheme="minorEastAsia"/>
          <w:b w:val="0"/>
          <w:bCs w:val="0"/>
          <w:color w:val="000000" w:themeColor="text1"/>
          <w:highlight w:val="none"/>
          <w:lang w:val="en-US" w:eastAsia="zh-CN"/>
          <w14:textFill>
            <w14:solidFill>
              <w14:schemeClr w14:val="tx1"/>
            </w14:solidFill>
          </w14:textFill>
        </w:rPr>
        <w:t>Regarding</w:t>
      </w:r>
      <w:r>
        <w:rPr>
          <w:rFonts w:hint="default" w:cs="Arial" w:eastAsiaTheme="minorEastAsia"/>
          <w:b w:val="0"/>
          <w:bCs w:val="0"/>
          <w:color w:val="000000" w:themeColor="text1"/>
          <w:highlight w:val="none"/>
          <w:lang w:val="en-US" w:eastAsia="zh-CN"/>
          <w14:textFill>
            <w14:solidFill>
              <w14:schemeClr w14:val="tx1"/>
            </w14:solidFill>
          </w14:textFill>
        </w:rPr>
        <w:t xml:space="preserve"> which SIB to use, this issue is related to the TN coverage list size mentioned</w:t>
      </w:r>
      <w:r>
        <w:rPr>
          <w:rFonts w:hint="eastAsia" w:cs="Arial" w:eastAsiaTheme="minorEastAsia"/>
          <w:b w:val="0"/>
          <w:bCs w:val="0"/>
          <w:color w:val="000000" w:themeColor="text1"/>
          <w:highlight w:val="none"/>
          <w:lang w:val="en-US" w:eastAsia="zh-CN"/>
          <w14:textFill>
            <w14:solidFill>
              <w14:schemeClr w14:val="tx1"/>
            </w14:solidFill>
          </w14:textFill>
        </w:rPr>
        <w:t xml:space="preserve"> and frequency information mentioned</w:t>
      </w:r>
      <w:r>
        <w:rPr>
          <w:rFonts w:hint="default" w:cs="Arial" w:eastAsiaTheme="minorEastAsia"/>
          <w:b w:val="0"/>
          <w:bCs w:val="0"/>
          <w:color w:val="000000" w:themeColor="text1"/>
          <w:highlight w:val="none"/>
          <w:lang w:val="en-US" w:eastAsia="zh-CN"/>
          <w14:textFill>
            <w14:solidFill>
              <w14:schemeClr w14:val="tx1"/>
            </w14:solidFill>
          </w14:textFill>
        </w:rPr>
        <w:t xml:space="preserve"> above, and TN coverage list size </w:t>
      </w:r>
      <w:r>
        <w:rPr>
          <w:rFonts w:hint="eastAsia" w:cs="Arial" w:eastAsiaTheme="minorEastAsia"/>
          <w:b w:val="0"/>
          <w:bCs w:val="0"/>
          <w:color w:val="000000" w:themeColor="text1"/>
          <w:highlight w:val="none"/>
          <w:lang w:val="en-US" w:eastAsia="zh-CN"/>
          <w14:textFill>
            <w14:solidFill>
              <w14:schemeClr w14:val="tx1"/>
            </w14:solidFill>
          </w14:textFill>
        </w:rPr>
        <w:t>and frequency information indication solution</w:t>
      </w:r>
      <w:r>
        <w:rPr>
          <w:rFonts w:hint="default" w:cs="Arial" w:eastAsiaTheme="minorEastAsia"/>
          <w:b w:val="0"/>
          <w:bCs w:val="0"/>
          <w:color w:val="000000" w:themeColor="text1"/>
          <w:highlight w:val="none"/>
          <w:lang w:val="en-US" w:eastAsia="zh-CN"/>
          <w14:textFill>
            <w14:solidFill>
              <w14:schemeClr w14:val="tx1"/>
            </w14:solidFill>
          </w14:textFill>
        </w:rPr>
        <w:t xml:space="preserve"> should go for first. </w:t>
      </w:r>
      <w:r>
        <w:rPr>
          <w:rFonts w:hint="eastAsia" w:cs="Arial" w:eastAsiaTheme="minorEastAsia"/>
          <w:b w:val="0"/>
          <w:bCs w:val="0"/>
          <w:color w:val="000000" w:themeColor="text1"/>
          <w:highlight w:val="none"/>
          <w:lang w:val="en-US" w:eastAsia="zh-CN"/>
          <w14:textFill>
            <w14:solidFill>
              <w14:schemeClr w14:val="tx1"/>
            </w14:solidFill>
          </w14:textFill>
        </w:rPr>
        <w:t>Then in last meeting, the SIB19 is confirmed to exclude and the remaining candidate option is an existing SIB(e.g. SIB4/SIB5) or a new one. Similarly, SIB4/5 may be not sufficient either considering the limited remaining room. Therefore, a new SIB is better to carry the TN coverage area and corresponding frequency information.</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To help push the progress about TN coverage list size, we could discuss typical NTN deployments and/or different satellite type cases </w:t>
      </w:r>
      <w:r>
        <w:rPr>
          <w:rFonts w:hint="eastAsia" w:cs="Arial" w:eastAsiaTheme="minorEastAsia"/>
          <w:b/>
          <w:bCs/>
          <w:color w:val="000000" w:themeColor="text1"/>
          <w:highlight w:val="none"/>
          <w:lang w:val="en-US" w:eastAsia="zh-CN"/>
          <w14:textFill>
            <w14:solidFill>
              <w14:schemeClr w14:val="tx1"/>
            </w14:solidFill>
          </w14:textFill>
        </w:rPr>
        <w:t>as soon as possible</w:t>
      </w:r>
      <w:r>
        <w:rPr>
          <w:rFonts w:hint="default" w:cs="Arial" w:eastAsiaTheme="minorEastAsia"/>
          <w:b/>
          <w:bCs/>
          <w:color w:val="000000" w:themeColor="text1"/>
          <w:highlight w:val="none"/>
          <w:lang w:val="en-US" w:eastAsia="zh-CN"/>
          <w14:textFill>
            <w14:solidFill>
              <w14:schemeClr w14:val="tx1"/>
            </w14:solidFill>
          </w14:textFill>
        </w:rPr>
        <w:t>.</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t>
      </w:r>
      <w:r>
        <w:rPr>
          <w:rFonts w:hint="eastAsia" w:cs="Arial" w:eastAsiaTheme="minorEastAsia"/>
          <w:b/>
          <w:bCs/>
          <w:color w:val="000000" w:themeColor="text1"/>
          <w:highlight w:val="none"/>
          <w:lang w:val="en-US" w:eastAsia="zh-CN"/>
          <w14:textFill>
            <w14:solidFill>
              <w14:schemeClr w14:val="tx1"/>
            </w14:solidFill>
          </w14:textFill>
        </w:rPr>
        <w:t>A</w:t>
      </w:r>
      <w:r>
        <w:rPr>
          <w:rFonts w:hint="eastAsia" w:cs="Arial" w:eastAsiaTheme="minorEastAsia"/>
          <w:b/>
          <w:bCs/>
          <w:color w:val="000000" w:themeColor="text1"/>
          <w:highlight w:val="none"/>
          <w:lang w:val="en-US" w:eastAsia="zh-CN"/>
          <w14:textFill>
            <w14:solidFill>
              <w14:schemeClr w14:val="tx1"/>
            </w14:solidFill>
          </w14:textFill>
        </w:rPr>
        <w:t xml:space="preserve"> new SIB is better to carry the TN coverage and corresponding frequency information.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eastAsia" w:eastAsiaTheme="minorEastAsia"/>
          <w:color w:val="000000" w:themeColor="text1"/>
          <w:lang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w:t>
      </w:r>
      <w:r>
        <w:rPr>
          <w:rFonts w:hint="eastAsia" w:eastAsia="宋体" w:cs="Arial"/>
          <w:color w:val="000000" w:themeColor="text1"/>
          <w:sz w:val="32"/>
          <w:szCs w:val="32"/>
          <w:lang w:val="en-US" w:eastAsia="zh-CN"/>
          <w14:textFill>
            <w14:solidFill>
              <w14:schemeClr w14:val="tx1"/>
            </w14:solidFill>
          </w14:textFill>
        </w:rPr>
        <w:t>3</w:t>
      </w:r>
      <w:r>
        <w:rPr>
          <w:rFonts w:hint="default" w:cs="Arial"/>
          <w:color w:val="000000" w:themeColor="text1"/>
          <w:sz w:val="32"/>
          <w:szCs w:val="32"/>
          <w:lang w:val="en-US"/>
          <w14:textFill>
            <w14:solidFill>
              <w14:schemeClr w14:val="tx1"/>
            </w14:solidFill>
          </w14:textFill>
        </w:rPr>
        <w:t xml:space="preserve"> </w:t>
      </w:r>
      <w:r>
        <w:rPr>
          <w:i w:val="0"/>
        </w:rPr>
        <w:t>UE storage overhead</w:t>
      </w:r>
    </w:p>
    <w:p>
      <w:pPr>
        <w:pStyle w:val="60"/>
        <w:spacing w:after="0"/>
        <w:ind w:left="0" w:firstLine="0"/>
        <w:rPr>
          <w:rFonts w:hint="default" w:eastAsiaTheme="minorEastAsia"/>
          <w:color w:val="000000" w:themeColor="text1"/>
          <w:lang w:val="en-US" w:eastAsia="zh-CN"/>
          <w14:textFill>
            <w14:solidFill>
              <w14:schemeClr w14:val="tx1"/>
            </w14:solidFill>
          </w14:textFill>
        </w:rPr>
      </w:pPr>
      <w:r>
        <w:rPr>
          <w:rFonts w:hint="default" w:eastAsiaTheme="minorEastAsia"/>
          <w:color w:val="000000" w:themeColor="text1"/>
          <w:lang w:val="en-US" w:eastAsia="zh-CN"/>
          <w14:textFill>
            <w14:solidFill>
              <w14:schemeClr w14:val="tx1"/>
            </w14:solidFill>
          </w14:textFill>
        </w:rPr>
        <w:t xml:space="preserve">For the </w:t>
      </w:r>
      <w:r>
        <w:rPr>
          <w:i w:val="0"/>
        </w:rPr>
        <w:t>UE storage overhead</w:t>
      </w:r>
      <w:r>
        <w:rPr>
          <w:rFonts w:hint="eastAsia" w:eastAsia="宋体"/>
          <w:i w:val="0"/>
          <w:lang w:val="en-US" w:eastAsia="zh-CN"/>
        </w:rPr>
        <w:t xml:space="preserve"> issue raised in RAN2 #120 meeting</w:t>
      </w:r>
      <w:r>
        <w:rPr>
          <w:rFonts w:hint="default"/>
          <w:i w:val="0"/>
          <w:lang w:val="en-US"/>
        </w:rPr>
        <w:t>, with the proper assistance information about TN neighbour cells, UE could be able to avoid some TN neighbour cells measurements. And UE just need to focus on limited information. Therefore, there may not be large amounts of data at UE side without storage problem.</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4</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w:t>
      </w:r>
      <w:r>
        <w:rPr>
          <w:rFonts w:hint="eastAsia" w:eastAsia="宋体" w:cs="Arial"/>
          <w:color w:val="000000" w:themeColor="text1"/>
          <w:lang w:val="en-US" w:eastAsia="zh-CN"/>
          <w14:textFill>
            <w14:solidFill>
              <w14:schemeClr w14:val="tx1"/>
            </w14:solidFill>
          </w14:textFill>
        </w:rPr>
        <w:t xml:space="preserve"> observation and</w:t>
      </w:r>
      <w:r>
        <w:rPr>
          <w:rFonts w:hint="default" w:eastAsia="宋体" w:cs="Arial"/>
          <w:color w:val="000000" w:themeColor="text1"/>
          <w:lang w:val="en-US"/>
          <w14:textFill>
            <w14:solidFill>
              <w14:schemeClr w14:val="tx1"/>
            </w14:solidFill>
          </w14:textFill>
        </w:rPr>
        <w:t xml:space="preserve"> </w:t>
      </w:r>
      <w:r>
        <w:rPr>
          <w:rFonts w:eastAsia="宋体" w:cs="Arial"/>
          <w:color w:val="000000" w:themeColor="text1"/>
          <w14:textFill>
            <w14:solidFill>
              <w14:schemeClr w14:val="tx1"/>
            </w14:solidFill>
          </w14:textFill>
        </w:rPr>
        <w:t>proposals:</w:t>
      </w:r>
    </w:p>
    <w:p>
      <w:pPr>
        <w:spacing w:after="180"/>
        <w:jc w:val="left"/>
        <w:rPr>
          <w:rFonts w:hint="eastAsia"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Observation 1: For option 2, the advantage is just that it could reuse the existing frequency information signaling structure in the SIB4 and SIB5, however we still need to consider how to provide frequencies not in SIB4/SIB5.</w:t>
      </w:r>
    </w:p>
    <w:p>
      <w:pPr>
        <w:spacing w:after="180"/>
        <w:jc w:val="left"/>
        <w:rPr>
          <w:rFonts w:hint="default" w:cs="Arial" w:eastAsiaTheme="minorEastAsia"/>
          <w:b/>
          <w:bCs/>
          <w:color w:val="000000" w:themeColor="text1"/>
          <w:highlight w:val="none"/>
          <w:lang w:val="en-US" w:eastAsia="zh-CN"/>
          <w14:textFill>
            <w14:solidFill>
              <w14:schemeClr w14:val="tx1"/>
            </w14:solidFill>
          </w14:textFill>
        </w:rPr>
      </w:pPr>
      <w:r>
        <w:rPr>
          <w:rFonts w:hint="eastAsia" w:cs="Arial" w:eastAsiaTheme="minorEastAsia"/>
          <w:b/>
          <w:bCs/>
          <w:color w:val="000000" w:themeColor="text1"/>
          <w:highlight w:val="none"/>
          <w:lang w:val="en-US" w:eastAsia="zh-CN"/>
          <w14:textFill>
            <w14:solidFill>
              <w14:schemeClr w14:val="tx1"/>
            </w14:solidFill>
          </w14:textFill>
        </w:rPr>
        <w:t>Proposal 1: It is proposed to consider the combination option 1+3 with high priority.</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To help push the progress about TN coverage list size, we could discuss typical NTN deployments and/or different satellite type cases </w:t>
      </w:r>
      <w:r>
        <w:rPr>
          <w:rFonts w:hint="eastAsia" w:cs="Arial" w:eastAsiaTheme="minorEastAsia"/>
          <w:b/>
          <w:bCs/>
          <w:color w:val="000000" w:themeColor="text1"/>
          <w:highlight w:val="none"/>
          <w:lang w:val="en-US" w:eastAsia="zh-CN"/>
          <w14:textFill>
            <w14:solidFill>
              <w14:schemeClr w14:val="tx1"/>
            </w14:solidFill>
          </w14:textFill>
        </w:rPr>
        <w:t>as soon as possible</w:t>
      </w:r>
      <w:r>
        <w:rPr>
          <w:rFonts w:hint="default" w:cs="Arial" w:eastAsiaTheme="minorEastAsia"/>
          <w:b/>
          <w:bCs/>
          <w:color w:val="000000" w:themeColor="text1"/>
          <w:highlight w:val="none"/>
          <w:lang w:val="en-US" w:eastAsia="zh-CN"/>
          <w14:textFill>
            <w14:solidFill>
              <w14:schemeClr w14:val="tx1"/>
            </w14:solidFill>
          </w14:textFill>
        </w:rPr>
        <w:t>.</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t>
      </w:r>
      <w:r>
        <w:rPr>
          <w:rFonts w:hint="eastAsia" w:cs="Arial" w:eastAsiaTheme="minorEastAsia"/>
          <w:b/>
          <w:bCs/>
          <w:color w:val="000000" w:themeColor="text1"/>
          <w:highlight w:val="none"/>
          <w:lang w:val="en-US" w:eastAsia="zh-CN"/>
          <w14:textFill>
            <w14:solidFill>
              <w14:schemeClr w14:val="tx1"/>
            </w14:solidFill>
          </w14:textFill>
        </w:rPr>
        <w:t>A new SIB is better to carry the TN coverage and corresponding frequency information.</w:t>
      </w:r>
    </w:p>
    <w:p>
      <w:pPr>
        <w:pStyle w:val="60"/>
        <w:spacing w:after="0"/>
        <w:ind w:left="0" w:firstLine="0"/>
        <w:rPr>
          <w:rFonts w:eastAsia="宋体" w:cs="Arial"/>
          <w:color w:val="000000" w:themeColor="text1"/>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eastAsia" w:cs="Arial" w:eastAsiaTheme="minorEastAsia"/>
          <w:b/>
          <w:bCs/>
          <w:color w:val="000000" w:themeColor="text1"/>
          <w:highlight w:val="none"/>
          <w:lang w:val="en-US" w:eastAsia="zh-CN"/>
          <w14:textFill>
            <w14:solidFill>
              <w14:schemeClr w14:val="tx1"/>
            </w14:solidFill>
          </w14:textFill>
        </w:rPr>
        <w:t>4</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keepNext w:val="0"/>
        <w:keepLines w:val="0"/>
        <w:pageBreakBefore w:val="0"/>
        <w:widowControl/>
        <w:numPr>
          <w:ilvl w:val="0"/>
          <w:numId w:val="14"/>
        </w:numPr>
        <w:kinsoku/>
        <w:wordWrap/>
        <w:overflowPunct/>
        <w:topLinePunct w:val="0"/>
        <w:autoSpaceDE/>
        <w:autoSpaceDN/>
        <w:bidi w:val="0"/>
        <w:adjustRightInd/>
        <w:snapToGrid/>
        <w:spacing w:after="0" w:line="360" w:lineRule="exact"/>
        <w:ind w:left="420" w:hanging="420"/>
        <w:jc w:val="left"/>
        <w:textAlignment w:val="center"/>
        <w:rPr>
          <w:rFonts w:hint="eastAsia"/>
          <w:color w:val="000000" w:themeColor="text1"/>
          <w14:textFill>
            <w14:solidFill>
              <w14:schemeClr w14:val="tx1"/>
            </w14:solidFill>
          </w14:textFill>
        </w:rPr>
      </w:pPr>
      <w:bookmarkStart w:id="3" w:name="_In-sequence_SDU_delivery"/>
      <w:bookmarkEnd w:id="3"/>
      <w:r>
        <w:rPr>
          <w:rFonts w:hint="eastAsia"/>
          <w:color w:val="000000"/>
        </w:rPr>
        <w:t>R2-2306541 - Report from Break-out session on NR-NTN and IoT-NTN</w:t>
      </w:r>
    </w:p>
    <w:p>
      <w:pPr>
        <w:keepNext w:val="0"/>
        <w:keepLines w:val="0"/>
        <w:pageBreakBefore w:val="0"/>
        <w:widowControl/>
        <w:numPr>
          <w:ilvl w:val="0"/>
          <w:numId w:val="14"/>
        </w:numPr>
        <w:kinsoku/>
        <w:wordWrap/>
        <w:overflowPunct/>
        <w:topLinePunct w:val="0"/>
        <w:autoSpaceDE/>
        <w:autoSpaceDN/>
        <w:bidi w:val="0"/>
        <w:adjustRightInd/>
        <w:snapToGrid/>
        <w:spacing w:after="0" w:line="360" w:lineRule="exact"/>
        <w:ind w:left="420" w:hanging="420"/>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R2-2306643 Report from [103][NR-NTN Enh] NTN-TN cell reselection (Nokia)</w:t>
      </w:r>
    </w:p>
    <w:p>
      <w:pPr>
        <w:pStyle w:val="27"/>
        <w:numPr>
          <w:ilvl w:val="0"/>
          <w:numId w:val="0"/>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[3]  </w:t>
      </w:r>
      <w:r>
        <w:rPr>
          <w:rFonts w:hint="eastAsia"/>
          <w:color w:val="000000" w:themeColor="text1"/>
          <w14:textFill>
            <w14:solidFill>
              <w14:schemeClr w14:val="tx1"/>
            </w14:solidFill>
          </w14:textFill>
        </w:rPr>
        <w:t>R2-2304246 Report from [AT121bis-e][106][NR NTN Enh] Signaling of TN coverage (Nokia)_summary</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A5313E1"/>
    <w:multiLevelType w:val="multilevel"/>
    <w:tmpl w:val="1A5313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E53A0A"/>
    <w:multiLevelType w:val="multilevel"/>
    <w:tmpl w:val="20E53A0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9BF7200"/>
    <w:multiLevelType w:val="multilevel"/>
    <w:tmpl w:val="49BF720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2"/>
  </w:num>
  <w:num w:numId="4">
    <w:abstractNumId w:val="8"/>
  </w:num>
  <w:num w:numId="5">
    <w:abstractNumId w:val="4"/>
  </w:num>
  <w:num w:numId="6">
    <w:abstractNumId w:val="7"/>
  </w:num>
  <w:num w:numId="7">
    <w:abstractNumId w:val="10"/>
  </w:num>
  <w:num w:numId="8">
    <w:abstractNumId w:val="6"/>
  </w:num>
  <w:num w:numId="9">
    <w:abstractNumId w:val="11"/>
  </w:num>
  <w:num w:numId="10">
    <w:abstractNumId w:val="13"/>
  </w:num>
  <w:num w:numId="11">
    <w:abstractNumId w:val="3"/>
  </w:num>
  <w:num w:numId="12">
    <w:abstractNumId w:val="9"/>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43DA"/>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51B"/>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210438"/>
    <w:rsid w:val="014E3F93"/>
    <w:rsid w:val="01847FF5"/>
    <w:rsid w:val="019A10AD"/>
    <w:rsid w:val="01D17169"/>
    <w:rsid w:val="02291B62"/>
    <w:rsid w:val="02744528"/>
    <w:rsid w:val="02A109D5"/>
    <w:rsid w:val="02B3227C"/>
    <w:rsid w:val="034902A8"/>
    <w:rsid w:val="03A11802"/>
    <w:rsid w:val="03F47F88"/>
    <w:rsid w:val="048A5003"/>
    <w:rsid w:val="04B403C6"/>
    <w:rsid w:val="04BC5E13"/>
    <w:rsid w:val="04F50E2F"/>
    <w:rsid w:val="0556040B"/>
    <w:rsid w:val="05606A49"/>
    <w:rsid w:val="05983EBC"/>
    <w:rsid w:val="06261BBF"/>
    <w:rsid w:val="0654248D"/>
    <w:rsid w:val="06B060B8"/>
    <w:rsid w:val="076230EC"/>
    <w:rsid w:val="078C1F33"/>
    <w:rsid w:val="07952A88"/>
    <w:rsid w:val="07B959B1"/>
    <w:rsid w:val="07EF7893"/>
    <w:rsid w:val="080725BF"/>
    <w:rsid w:val="080F7315"/>
    <w:rsid w:val="083F0917"/>
    <w:rsid w:val="0859714B"/>
    <w:rsid w:val="089A4F05"/>
    <w:rsid w:val="08AF444E"/>
    <w:rsid w:val="08C72F36"/>
    <w:rsid w:val="09133D3D"/>
    <w:rsid w:val="096334FA"/>
    <w:rsid w:val="09D41BD9"/>
    <w:rsid w:val="09DD6C11"/>
    <w:rsid w:val="0A514556"/>
    <w:rsid w:val="0A9740DA"/>
    <w:rsid w:val="0AA01CBB"/>
    <w:rsid w:val="0ACC0F45"/>
    <w:rsid w:val="0ADA71A4"/>
    <w:rsid w:val="0B072024"/>
    <w:rsid w:val="0B095C10"/>
    <w:rsid w:val="0B170100"/>
    <w:rsid w:val="0B197012"/>
    <w:rsid w:val="0B277F39"/>
    <w:rsid w:val="0B4A1814"/>
    <w:rsid w:val="0B8D4835"/>
    <w:rsid w:val="0BC4632C"/>
    <w:rsid w:val="0BD60B5C"/>
    <w:rsid w:val="0BE467B0"/>
    <w:rsid w:val="0C036A44"/>
    <w:rsid w:val="0C604758"/>
    <w:rsid w:val="0CAE5B2E"/>
    <w:rsid w:val="0CDE4BE3"/>
    <w:rsid w:val="0CE517A4"/>
    <w:rsid w:val="0D136062"/>
    <w:rsid w:val="0D17394F"/>
    <w:rsid w:val="0D524167"/>
    <w:rsid w:val="0D681ED9"/>
    <w:rsid w:val="0DA91D91"/>
    <w:rsid w:val="0DDB664A"/>
    <w:rsid w:val="0DF15A6B"/>
    <w:rsid w:val="0E222201"/>
    <w:rsid w:val="0E553A6B"/>
    <w:rsid w:val="0E8665F6"/>
    <w:rsid w:val="0EC152B6"/>
    <w:rsid w:val="0EC440FF"/>
    <w:rsid w:val="0F581B52"/>
    <w:rsid w:val="0F731FAE"/>
    <w:rsid w:val="0FA80C5E"/>
    <w:rsid w:val="0FCC0A5A"/>
    <w:rsid w:val="0FE0018D"/>
    <w:rsid w:val="0FE85884"/>
    <w:rsid w:val="0FF61F41"/>
    <w:rsid w:val="100F325B"/>
    <w:rsid w:val="102213C6"/>
    <w:rsid w:val="10221AC0"/>
    <w:rsid w:val="10CC1B9B"/>
    <w:rsid w:val="11043CD0"/>
    <w:rsid w:val="110F10D1"/>
    <w:rsid w:val="11AC408C"/>
    <w:rsid w:val="11B82D63"/>
    <w:rsid w:val="11B84B6A"/>
    <w:rsid w:val="11C5063A"/>
    <w:rsid w:val="11E2632C"/>
    <w:rsid w:val="12001411"/>
    <w:rsid w:val="12147FF2"/>
    <w:rsid w:val="1241593B"/>
    <w:rsid w:val="126F57DC"/>
    <w:rsid w:val="12BA7EC6"/>
    <w:rsid w:val="12C4018F"/>
    <w:rsid w:val="12C77332"/>
    <w:rsid w:val="12C86DA9"/>
    <w:rsid w:val="13116F0E"/>
    <w:rsid w:val="13176237"/>
    <w:rsid w:val="134A0035"/>
    <w:rsid w:val="135C7F4F"/>
    <w:rsid w:val="136D0B8E"/>
    <w:rsid w:val="13784D5C"/>
    <w:rsid w:val="13CF3AED"/>
    <w:rsid w:val="13DE7A54"/>
    <w:rsid w:val="13F74B5E"/>
    <w:rsid w:val="141B1C76"/>
    <w:rsid w:val="142B286F"/>
    <w:rsid w:val="14945B6F"/>
    <w:rsid w:val="149A45BB"/>
    <w:rsid w:val="14A20FFB"/>
    <w:rsid w:val="1517480A"/>
    <w:rsid w:val="153372CB"/>
    <w:rsid w:val="15431B89"/>
    <w:rsid w:val="155E69FB"/>
    <w:rsid w:val="157C7625"/>
    <w:rsid w:val="15CF5078"/>
    <w:rsid w:val="16563130"/>
    <w:rsid w:val="165D26B6"/>
    <w:rsid w:val="167F513E"/>
    <w:rsid w:val="169343E9"/>
    <w:rsid w:val="16AD3796"/>
    <w:rsid w:val="170166DD"/>
    <w:rsid w:val="179067FF"/>
    <w:rsid w:val="1795675B"/>
    <w:rsid w:val="180E362D"/>
    <w:rsid w:val="182C1162"/>
    <w:rsid w:val="18547457"/>
    <w:rsid w:val="189A688B"/>
    <w:rsid w:val="18B9619D"/>
    <w:rsid w:val="191242AE"/>
    <w:rsid w:val="19874712"/>
    <w:rsid w:val="19CD4331"/>
    <w:rsid w:val="1A184B78"/>
    <w:rsid w:val="1A330485"/>
    <w:rsid w:val="1A53328F"/>
    <w:rsid w:val="1A6F62AB"/>
    <w:rsid w:val="1A955970"/>
    <w:rsid w:val="1AEF5DBD"/>
    <w:rsid w:val="1B2F05F9"/>
    <w:rsid w:val="1B423649"/>
    <w:rsid w:val="1BA24967"/>
    <w:rsid w:val="1BD63413"/>
    <w:rsid w:val="1BD95F94"/>
    <w:rsid w:val="1BDA5141"/>
    <w:rsid w:val="1C3D1CD0"/>
    <w:rsid w:val="1C5E7298"/>
    <w:rsid w:val="1C897429"/>
    <w:rsid w:val="1CC119D3"/>
    <w:rsid w:val="1D102BCE"/>
    <w:rsid w:val="1DA17A2E"/>
    <w:rsid w:val="1DDD518B"/>
    <w:rsid w:val="1E0079C2"/>
    <w:rsid w:val="1E3072B7"/>
    <w:rsid w:val="1E403C53"/>
    <w:rsid w:val="1E481727"/>
    <w:rsid w:val="1E851282"/>
    <w:rsid w:val="1E8757C6"/>
    <w:rsid w:val="1EAA6DF5"/>
    <w:rsid w:val="1F734328"/>
    <w:rsid w:val="1F906E66"/>
    <w:rsid w:val="1FA11974"/>
    <w:rsid w:val="1FC63B1B"/>
    <w:rsid w:val="20203DE8"/>
    <w:rsid w:val="2031215C"/>
    <w:rsid w:val="20955704"/>
    <w:rsid w:val="20D17656"/>
    <w:rsid w:val="20DB7C51"/>
    <w:rsid w:val="20E9518E"/>
    <w:rsid w:val="20F12FA1"/>
    <w:rsid w:val="211313D4"/>
    <w:rsid w:val="21325ABC"/>
    <w:rsid w:val="218F6BBC"/>
    <w:rsid w:val="21A509A2"/>
    <w:rsid w:val="21D77282"/>
    <w:rsid w:val="21DF0F8F"/>
    <w:rsid w:val="21ED415F"/>
    <w:rsid w:val="21F105D4"/>
    <w:rsid w:val="21F159F7"/>
    <w:rsid w:val="21F86645"/>
    <w:rsid w:val="226A2883"/>
    <w:rsid w:val="22896DE2"/>
    <w:rsid w:val="228F1A2F"/>
    <w:rsid w:val="22C7596B"/>
    <w:rsid w:val="235351E5"/>
    <w:rsid w:val="237769E3"/>
    <w:rsid w:val="23D51BDA"/>
    <w:rsid w:val="24085D2A"/>
    <w:rsid w:val="2419611E"/>
    <w:rsid w:val="245B6D34"/>
    <w:rsid w:val="2467469A"/>
    <w:rsid w:val="24937CAA"/>
    <w:rsid w:val="24B82068"/>
    <w:rsid w:val="24E10292"/>
    <w:rsid w:val="25043CC9"/>
    <w:rsid w:val="25056D91"/>
    <w:rsid w:val="25497BB1"/>
    <w:rsid w:val="25E03EDF"/>
    <w:rsid w:val="25F73FED"/>
    <w:rsid w:val="260A3B09"/>
    <w:rsid w:val="262E3D44"/>
    <w:rsid w:val="26B11091"/>
    <w:rsid w:val="27115A22"/>
    <w:rsid w:val="27121D74"/>
    <w:rsid w:val="272025A7"/>
    <w:rsid w:val="27606908"/>
    <w:rsid w:val="27840467"/>
    <w:rsid w:val="27D314AB"/>
    <w:rsid w:val="27FE2D3E"/>
    <w:rsid w:val="2809471B"/>
    <w:rsid w:val="285478B9"/>
    <w:rsid w:val="286C3941"/>
    <w:rsid w:val="28862956"/>
    <w:rsid w:val="28BE06FE"/>
    <w:rsid w:val="290D2FD1"/>
    <w:rsid w:val="29423CBE"/>
    <w:rsid w:val="29567D36"/>
    <w:rsid w:val="29CD3FA9"/>
    <w:rsid w:val="2A455191"/>
    <w:rsid w:val="2A5F10C6"/>
    <w:rsid w:val="2AC82235"/>
    <w:rsid w:val="2B083F92"/>
    <w:rsid w:val="2B4C42DE"/>
    <w:rsid w:val="2B542A45"/>
    <w:rsid w:val="2B5F5BD2"/>
    <w:rsid w:val="2B6C7B04"/>
    <w:rsid w:val="2BAD426E"/>
    <w:rsid w:val="2BE54292"/>
    <w:rsid w:val="2BE84FDD"/>
    <w:rsid w:val="2C1B670D"/>
    <w:rsid w:val="2C2A3B12"/>
    <w:rsid w:val="2CF51ED1"/>
    <w:rsid w:val="2CFA23BD"/>
    <w:rsid w:val="2D381EF4"/>
    <w:rsid w:val="2D5923F4"/>
    <w:rsid w:val="2DAE26E2"/>
    <w:rsid w:val="2DB6192E"/>
    <w:rsid w:val="2DEF7093"/>
    <w:rsid w:val="2DF36570"/>
    <w:rsid w:val="2E525FBB"/>
    <w:rsid w:val="2E552D91"/>
    <w:rsid w:val="2E946C1E"/>
    <w:rsid w:val="2EA77CC6"/>
    <w:rsid w:val="2EAE16B2"/>
    <w:rsid w:val="2EB775B3"/>
    <w:rsid w:val="2EE85B84"/>
    <w:rsid w:val="2F0A1306"/>
    <w:rsid w:val="2F3F1089"/>
    <w:rsid w:val="301E4A69"/>
    <w:rsid w:val="305F6E24"/>
    <w:rsid w:val="30946552"/>
    <w:rsid w:val="31056760"/>
    <w:rsid w:val="311B2E7F"/>
    <w:rsid w:val="3142695E"/>
    <w:rsid w:val="315947D3"/>
    <w:rsid w:val="319D3380"/>
    <w:rsid w:val="31AE180F"/>
    <w:rsid w:val="31C777AC"/>
    <w:rsid w:val="32101BFA"/>
    <w:rsid w:val="327E592B"/>
    <w:rsid w:val="32A942B0"/>
    <w:rsid w:val="32F13120"/>
    <w:rsid w:val="333663A2"/>
    <w:rsid w:val="33547F3E"/>
    <w:rsid w:val="33597E1B"/>
    <w:rsid w:val="33E26367"/>
    <w:rsid w:val="33F614DE"/>
    <w:rsid w:val="346D3EBD"/>
    <w:rsid w:val="34914DCA"/>
    <w:rsid w:val="34966491"/>
    <w:rsid w:val="34D20AC7"/>
    <w:rsid w:val="34E73E2C"/>
    <w:rsid w:val="34F55F88"/>
    <w:rsid w:val="34F64B3D"/>
    <w:rsid w:val="35734C67"/>
    <w:rsid w:val="35AC0B91"/>
    <w:rsid w:val="35AC5558"/>
    <w:rsid w:val="35E81533"/>
    <w:rsid w:val="361C2353"/>
    <w:rsid w:val="362E0491"/>
    <w:rsid w:val="3635547B"/>
    <w:rsid w:val="364069EF"/>
    <w:rsid w:val="36746B61"/>
    <w:rsid w:val="36A9407C"/>
    <w:rsid w:val="36FA1D41"/>
    <w:rsid w:val="36FD4C0E"/>
    <w:rsid w:val="37191787"/>
    <w:rsid w:val="373838A6"/>
    <w:rsid w:val="376D3348"/>
    <w:rsid w:val="37AE19EB"/>
    <w:rsid w:val="37C2178A"/>
    <w:rsid w:val="37D57FF5"/>
    <w:rsid w:val="3829480D"/>
    <w:rsid w:val="383529C2"/>
    <w:rsid w:val="383C5BD0"/>
    <w:rsid w:val="387C0BB8"/>
    <w:rsid w:val="388727CC"/>
    <w:rsid w:val="38DC64B8"/>
    <w:rsid w:val="39024B57"/>
    <w:rsid w:val="392016C6"/>
    <w:rsid w:val="39282EA2"/>
    <w:rsid w:val="39932C1B"/>
    <w:rsid w:val="39FC64D0"/>
    <w:rsid w:val="3A06167E"/>
    <w:rsid w:val="3A6F42D5"/>
    <w:rsid w:val="3A82293D"/>
    <w:rsid w:val="3A9E2AD9"/>
    <w:rsid w:val="3B533262"/>
    <w:rsid w:val="3B7D3280"/>
    <w:rsid w:val="3BA7658A"/>
    <w:rsid w:val="3C8926DB"/>
    <w:rsid w:val="3CD83CB9"/>
    <w:rsid w:val="3D184B98"/>
    <w:rsid w:val="3D694C45"/>
    <w:rsid w:val="3D956B18"/>
    <w:rsid w:val="3D966C01"/>
    <w:rsid w:val="3DA51E2F"/>
    <w:rsid w:val="3DB43891"/>
    <w:rsid w:val="3DD664A6"/>
    <w:rsid w:val="3F191D76"/>
    <w:rsid w:val="3F382F08"/>
    <w:rsid w:val="3F4C69B0"/>
    <w:rsid w:val="40325295"/>
    <w:rsid w:val="40F82E28"/>
    <w:rsid w:val="41515A17"/>
    <w:rsid w:val="41585AC3"/>
    <w:rsid w:val="419730EB"/>
    <w:rsid w:val="41B34CCB"/>
    <w:rsid w:val="41C576A3"/>
    <w:rsid w:val="41E37B4F"/>
    <w:rsid w:val="41FD2634"/>
    <w:rsid w:val="420610DF"/>
    <w:rsid w:val="423E4C42"/>
    <w:rsid w:val="4261530D"/>
    <w:rsid w:val="428507B0"/>
    <w:rsid w:val="429544E1"/>
    <w:rsid w:val="42CE6929"/>
    <w:rsid w:val="42D70479"/>
    <w:rsid w:val="42F71CEC"/>
    <w:rsid w:val="43106A8E"/>
    <w:rsid w:val="435062FE"/>
    <w:rsid w:val="443B107F"/>
    <w:rsid w:val="449E617D"/>
    <w:rsid w:val="44B14540"/>
    <w:rsid w:val="44BA7E1E"/>
    <w:rsid w:val="44BE79C3"/>
    <w:rsid w:val="44F05BC3"/>
    <w:rsid w:val="44F761FF"/>
    <w:rsid w:val="45210064"/>
    <w:rsid w:val="45523176"/>
    <w:rsid w:val="458A44BE"/>
    <w:rsid w:val="45CA31DA"/>
    <w:rsid w:val="45D5460A"/>
    <w:rsid w:val="45E509B9"/>
    <w:rsid w:val="45EC6821"/>
    <w:rsid w:val="45F303D0"/>
    <w:rsid w:val="460F2E21"/>
    <w:rsid w:val="46175C2C"/>
    <w:rsid w:val="464004CF"/>
    <w:rsid w:val="46B51FCF"/>
    <w:rsid w:val="46BA0199"/>
    <w:rsid w:val="46C915BF"/>
    <w:rsid w:val="46D30533"/>
    <w:rsid w:val="47062A9A"/>
    <w:rsid w:val="47210BFC"/>
    <w:rsid w:val="47464FBB"/>
    <w:rsid w:val="47993F84"/>
    <w:rsid w:val="47BE47B8"/>
    <w:rsid w:val="47CF177A"/>
    <w:rsid w:val="480A17DC"/>
    <w:rsid w:val="482C507C"/>
    <w:rsid w:val="484E1C04"/>
    <w:rsid w:val="48564F2E"/>
    <w:rsid w:val="48690AF5"/>
    <w:rsid w:val="4876542D"/>
    <w:rsid w:val="48EA72F8"/>
    <w:rsid w:val="49316623"/>
    <w:rsid w:val="49655FF0"/>
    <w:rsid w:val="499B54CF"/>
    <w:rsid w:val="49E45854"/>
    <w:rsid w:val="4A137F55"/>
    <w:rsid w:val="4A284A82"/>
    <w:rsid w:val="4A5E4276"/>
    <w:rsid w:val="4A662E1D"/>
    <w:rsid w:val="4A7E32B4"/>
    <w:rsid w:val="4A897789"/>
    <w:rsid w:val="4AB75B88"/>
    <w:rsid w:val="4ACE2C58"/>
    <w:rsid w:val="4AF33F1A"/>
    <w:rsid w:val="4B1367B9"/>
    <w:rsid w:val="4B1E0088"/>
    <w:rsid w:val="4B316DE7"/>
    <w:rsid w:val="4B887A7E"/>
    <w:rsid w:val="4B9408CA"/>
    <w:rsid w:val="4C24278C"/>
    <w:rsid w:val="4C353BC7"/>
    <w:rsid w:val="4C5D54D6"/>
    <w:rsid w:val="4C7A1023"/>
    <w:rsid w:val="4C814518"/>
    <w:rsid w:val="4C91315E"/>
    <w:rsid w:val="4C9955F9"/>
    <w:rsid w:val="4CAD0872"/>
    <w:rsid w:val="4CCE50CA"/>
    <w:rsid w:val="4CDE5892"/>
    <w:rsid w:val="4CF719D4"/>
    <w:rsid w:val="4D0409C4"/>
    <w:rsid w:val="4D594475"/>
    <w:rsid w:val="4D65569C"/>
    <w:rsid w:val="4DB06342"/>
    <w:rsid w:val="4DEC01C6"/>
    <w:rsid w:val="4DF158ED"/>
    <w:rsid w:val="4E4D0205"/>
    <w:rsid w:val="4E846939"/>
    <w:rsid w:val="4E871374"/>
    <w:rsid w:val="4EC83A06"/>
    <w:rsid w:val="4EF03DAB"/>
    <w:rsid w:val="4F1C545C"/>
    <w:rsid w:val="4F2C3853"/>
    <w:rsid w:val="4F5816A8"/>
    <w:rsid w:val="4F7F20AA"/>
    <w:rsid w:val="4F873909"/>
    <w:rsid w:val="4FF617D6"/>
    <w:rsid w:val="506B2DFC"/>
    <w:rsid w:val="50853D5B"/>
    <w:rsid w:val="50E64646"/>
    <w:rsid w:val="51641E3D"/>
    <w:rsid w:val="516A6684"/>
    <w:rsid w:val="518C6DB2"/>
    <w:rsid w:val="51D50A0B"/>
    <w:rsid w:val="51E261D3"/>
    <w:rsid w:val="51FE4105"/>
    <w:rsid w:val="51FE7585"/>
    <w:rsid w:val="521431C2"/>
    <w:rsid w:val="52653853"/>
    <w:rsid w:val="53322A76"/>
    <w:rsid w:val="539B27C2"/>
    <w:rsid w:val="53C54AA3"/>
    <w:rsid w:val="53D57268"/>
    <w:rsid w:val="546B361A"/>
    <w:rsid w:val="54A648D1"/>
    <w:rsid w:val="54C512F9"/>
    <w:rsid w:val="54E44ED6"/>
    <w:rsid w:val="55463526"/>
    <w:rsid w:val="55571991"/>
    <w:rsid w:val="55583A7C"/>
    <w:rsid w:val="556A1864"/>
    <w:rsid w:val="55C6076E"/>
    <w:rsid w:val="55E338A8"/>
    <w:rsid w:val="55EA3640"/>
    <w:rsid w:val="55F509A9"/>
    <w:rsid w:val="56CD154D"/>
    <w:rsid w:val="581B2429"/>
    <w:rsid w:val="58550EE0"/>
    <w:rsid w:val="58684BBE"/>
    <w:rsid w:val="5896421B"/>
    <w:rsid w:val="58EB59CB"/>
    <w:rsid w:val="58F72495"/>
    <w:rsid w:val="592E540E"/>
    <w:rsid w:val="59620232"/>
    <w:rsid w:val="598D15AD"/>
    <w:rsid w:val="59A00F56"/>
    <w:rsid w:val="59B24039"/>
    <w:rsid w:val="59B33337"/>
    <w:rsid w:val="59E543F3"/>
    <w:rsid w:val="5A31005C"/>
    <w:rsid w:val="5AA42813"/>
    <w:rsid w:val="5AF32B1D"/>
    <w:rsid w:val="5B8D1AC1"/>
    <w:rsid w:val="5BA25157"/>
    <w:rsid w:val="5BA27B58"/>
    <w:rsid w:val="5BA3592C"/>
    <w:rsid w:val="5BFB3309"/>
    <w:rsid w:val="5C4A1857"/>
    <w:rsid w:val="5C610721"/>
    <w:rsid w:val="5C7615A0"/>
    <w:rsid w:val="5C9556C8"/>
    <w:rsid w:val="5CFE4143"/>
    <w:rsid w:val="5D1C10E8"/>
    <w:rsid w:val="5D8F6547"/>
    <w:rsid w:val="5D9B28D9"/>
    <w:rsid w:val="5DCD1F10"/>
    <w:rsid w:val="5DDE5D84"/>
    <w:rsid w:val="5E142F1F"/>
    <w:rsid w:val="5E204AD7"/>
    <w:rsid w:val="5E6D4BC0"/>
    <w:rsid w:val="5E88274D"/>
    <w:rsid w:val="5E8D3785"/>
    <w:rsid w:val="5ED151CF"/>
    <w:rsid w:val="5F232783"/>
    <w:rsid w:val="5F353D5F"/>
    <w:rsid w:val="5F3E69CE"/>
    <w:rsid w:val="5F5E3397"/>
    <w:rsid w:val="5F871843"/>
    <w:rsid w:val="5F922F90"/>
    <w:rsid w:val="6009519E"/>
    <w:rsid w:val="60291B4C"/>
    <w:rsid w:val="60373428"/>
    <w:rsid w:val="60AD5F5F"/>
    <w:rsid w:val="60B64CF0"/>
    <w:rsid w:val="60CB1606"/>
    <w:rsid w:val="60D33A8C"/>
    <w:rsid w:val="60E30438"/>
    <w:rsid w:val="612A725E"/>
    <w:rsid w:val="612D3C7B"/>
    <w:rsid w:val="614C7842"/>
    <w:rsid w:val="61826F89"/>
    <w:rsid w:val="618E6AB0"/>
    <w:rsid w:val="61970230"/>
    <w:rsid w:val="622B3B50"/>
    <w:rsid w:val="622C7E43"/>
    <w:rsid w:val="628168E3"/>
    <w:rsid w:val="6289482D"/>
    <w:rsid w:val="62E70A4E"/>
    <w:rsid w:val="631B78C7"/>
    <w:rsid w:val="632C6FC4"/>
    <w:rsid w:val="634B3FF6"/>
    <w:rsid w:val="63DB60CF"/>
    <w:rsid w:val="63FA7386"/>
    <w:rsid w:val="64460ECC"/>
    <w:rsid w:val="644F5E22"/>
    <w:rsid w:val="647077C3"/>
    <w:rsid w:val="647E70FB"/>
    <w:rsid w:val="649F242C"/>
    <w:rsid w:val="64D843A5"/>
    <w:rsid w:val="651F6FCE"/>
    <w:rsid w:val="65AC39B7"/>
    <w:rsid w:val="65BE6626"/>
    <w:rsid w:val="65DB2206"/>
    <w:rsid w:val="66086CEE"/>
    <w:rsid w:val="660A050D"/>
    <w:rsid w:val="663B46C9"/>
    <w:rsid w:val="663F30CF"/>
    <w:rsid w:val="67117DA9"/>
    <w:rsid w:val="67413BF6"/>
    <w:rsid w:val="67D27C62"/>
    <w:rsid w:val="67DF6978"/>
    <w:rsid w:val="68074EB7"/>
    <w:rsid w:val="683D458E"/>
    <w:rsid w:val="684A4064"/>
    <w:rsid w:val="68587E47"/>
    <w:rsid w:val="692869C3"/>
    <w:rsid w:val="692F18F8"/>
    <w:rsid w:val="694E04D2"/>
    <w:rsid w:val="696862D7"/>
    <w:rsid w:val="698044A5"/>
    <w:rsid w:val="699074A0"/>
    <w:rsid w:val="69DD143C"/>
    <w:rsid w:val="6A0251A8"/>
    <w:rsid w:val="6A510F7A"/>
    <w:rsid w:val="6AA67E64"/>
    <w:rsid w:val="6AD96913"/>
    <w:rsid w:val="6AEA387F"/>
    <w:rsid w:val="6B0D712F"/>
    <w:rsid w:val="6B28575B"/>
    <w:rsid w:val="6B5917AB"/>
    <w:rsid w:val="6B986C21"/>
    <w:rsid w:val="6C073B0E"/>
    <w:rsid w:val="6C3B431E"/>
    <w:rsid w:val="6C5333DB"/>
    <w:rsid w:val="6C857DA8"/>
    <w:rsid w:val="6C87465D"/>
    <w:rsid w:val="6CC1587C"/>
    <w:rsid w:val="6CC644DD"/>
    <w:rsid w:val="6D13746F"/>
    <w:rsid w:val="6D26075E"/>
    <w:rsid w:val="6D2B74AA"/>
    <w:rsid w:val="6D9C5425"/>
    <w:rsid w:val="6E280F38"/>
    <w:rsid w:val="6E8A21F7"/>
    <w:rsid w:val="6ED037CE"/>
    <w:rsid w:val="6ED3075F"/>
    <w:rsid w:val="6EF04506"/>
    <w:rsid w:val="6F215532"/>
    <w:rsid w:val="6F2867BD"/>
    <w:rsid w:val="6F435693"/>
    <w:rsid w:val="6F44559B"/>
    <w:rsid w:val="6F8B6967"/>
    <w:rsid w:val="6F926AB4"/>
    <w:rsid w:val="6FAC0134"/>
    <w:rsid w:val="70015DA7"/>
    <w:rsid w:val="703A2630"/>
    <w:rsid w:val="709C594C"/>
    <w:rsid w:val="70B15AF2"/>
    <w:rsid w:val="711F51A4"/>
    <w:rsid w:val="71376C0A"/>
    <w:rsid w:val="71B7240E"/>
    <w:rsid w:val="71C3063C"/>
    <w:rsid w:val="71D05F49"/>
    <w:rsid w:val="72390C71"/>
    <w:rsid w:val="725A7DE9"/>
    <w:rsid w:val="727E3A54"/>
    <w:rsid w:val="72AA359B"/>
    <w:rsid w:val="72B12123"/>
    <w:rsid w:val="72B82B8A"/>
    <w:rsid w:val="72BA547D"/>
    <w:rsid w:val="733D5C3B"/>
    <w:rsid w:val="739C0220"/>
    <w:rsid w:val="73B20FA8"/>
    <w:rsid w:val="73F82EA2"/>
    <w:rsid w:val="7435596C"/>
    <w:rsid w:val="74722C9A"/>
    <w:rsid w:val="747E452E"/>
    <w:rsid w:val="74F670D3"/>
    <w:rsid w:val="74FA5A4A"/>
    <w:rsid w:val="753E5886"/>
    <w:rsid w:val="755E4E24"/>
    <w:rsid w:val="755F161D"/>
    <w:rsid w:val="75884210"/>
    <w:rsid w:val="75A039F7"/>
    <w:rsid w:val="75BD4A84"/>
    <w:rsid w:val="75C57E83"/>
    <w:rsid w:val="75EA7003"/>
    <w:rsid w:val="760D56E2"/>
    <w:rsid w:val="76EE218C"/>
    <w:rsid w:val="772E0B03"/>
    <w:rsid w:val="77833E7F"/>
    <w:rsid w:val="778A542A"/>
    <w:rsid w:val="77A812B9"/>
    <w:rsid w:val="77AF3198"/>
    <w:rsid w:val="77B700D8"/>
    <w:rsid w:val="77C177F8"/>
    <w:rsid w:val="77EF5E51"/>
    <w:rsid w:val="7820430F"/>
    <w:rsid w:val="7836060A"/>
    <w:rsid w:val="786C401D"/>
    <w:rsid w:val="79224C52"/>
    <w:rsid w:val="79332F0B"/>
    <w:rsid w:val="795E1DDE"/>
    <w:rsid w:val="798F785F"/>
    <w:rsid w:val="79AA4DF5"/>
    <w:rsid w:val="79C11BD2"/>
    <w:rsid w:val="79E8078D"/>
    <w:rsid w:val="7A2E1835"/>
    <w:rsid w:val="7A3422EE"/>
    <w:rsid w:val="7A4774F3"/>
    <w:rsid w:val="7A933BB6"/>
    <w:rsid w:val="7AA678C6"/>
    <w:rsid w:val="7AB73377"/>
    <w:rsid w:val="7ADC4EAB"/>
    <w:rsid w:val="7B113087"/>
    <w:rsid w:val="7B1D6C96"/>
    <w:rsid w:val="7B601E00"/>
    <w:rsid w:val="7B9E2E7D"/>
    <w:rsid w:val="7BA602F8"/>
    <w:rsid w:val="7C050B07"/>
    <w:rsid w:val="7C9E7A01"/>
    <w:rsid w:val="7CBD7899"/>
    <w:rsid w:val="7D1A2F44"/>
    <w:rsid w:val="7D2E186E"/>
    <w:rsid w:val="7D2F3DF9"/>
    <w:rsid w:val="7D8F4D8B"/>
    <w:rsid w:val="7DD14D63"/>
    <w:rsid w:val="7E0773D0"/>
    <w:rsid w:val="7E5D66DD"/>
    <w:rsid w:val="7E620E1C"/>
    <w:rsid w:val="7E734104"/>
    <w:rsid w:val="7EEE5FCC"/>
    <w:rsid w:val="7F2E279D"/>
    <w:rsid w:val="7F977549"/>
    <w:rsid w:val="7F9F422D"/>
    <w:rsid w:val="7FED08FA"/>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1249</Words>
  <Characters>6368</Characters>
  <Lines>58</Lines>
  <Paragraphs>16</Paragraphs>
  <TotalTime>7</TotalTime>
  <ScaleCrop>false</ScaleCrop>
  <LinksUpToDate>false</LinksUpToDate>
  <CharactersWithSpaces>7540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2023-08-11T07:59:10Z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D6B9B89263974ED6B64AB0ACEF443738</vt:lpwstr>
  </property>
</Properties>
</file>